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440"/>
        <w:jc w:val="center"/>
        <w:rPr>
          <w:rFonts w:ascii="標楷體" w:hAnsi="標楷體" w:eastAsia="標楷體" w:cs="Times New Roman"/>
          <w:color w:themeColor="text1" w:val="000000"/>
          <w:sz w:val="32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 w:val="32"/>
          <w:szCs w:val="28"/>
        </w:rPr>
        <w:t>澎湖縣政府文化局</w:t>
      </w:r>
      <w:r>
        <w:rPr>
          <w:rFonts w:eastAsia="標楷體" w:cs="Times New Roman" w:hint="eastAsia" w:ascii="標楷體" w:hAnsi="標楷體"/>
          <w:color w:themeColor="text1" w:val="000000"/>
          <w:sz w:val="32"/>
          <w:szCs w:val="28"/>
        </w:rPr>
        <w:t>115</w:t>
      </w:r>
      <w:r>
        <w:rPr>
          <w:rFonts w:ascii="標楷體" w:hAnsi="標楷體" w:cs="Times New Roman" w:hint="eastAsia" w:eastAsia="標楷體"/>
          <w:color w:themeColor="text1" w:val="000000"/>
          <w:sz w:val="32"/>
          <w:szCs w:val="28"/>
        </w:rPr>
        <w:t>年「講咱的話」臺灣台語說故事比賽</w:t>
      </w:r>
    </w:p>
    <w:p>
      <w:pPr>
        <w:pStyle w:val="Normal"/>
        <w:spacing w:lineRule="exact" w:line="440"/>
        <w:jc w:val="center"/>
        <w:rPr>
          <w:rFonts w:ascii="標楷體" w:hAnsi="標楷體" w:eastAsia="標楷體" w:cs="Times New Roman"/>
          <w:color w:themeColor="text1" w:val="000000"/>
          <w:sz w:val="32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 w:val="32"/>
          <w:szCs w:val="28"/>
        </w:rPr>
        <w:t>簡  章</w:t>
      </w:r>
    </w:p>
    <w:p>
      <w:pPr>
        <w:pStyle w:val="Normal"/>
        <w:spacing w:lineRule="exact" w:line="440"/>
        <w:jc w:val="center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eastAsia="標楷體" w:cs="Times New Roman" w:ascii="標楷體" w:hAnsi="標楷體"/>
          <w:color w:themeColor="text1" w:val="000000"/>
          <w:szCs w:val="28"/>
        </w:rPr>
      </w:r>
    </w:p>
    <w:p>
      <w:pPr>
        <w:pStyle w:val="NoSpacing"/>
        <w:spacing w:lineRule="exact" w:line="440"/>
        <w:ind w:hangingChars="693" w:startChars="59"/>
        <w:rPr>
          <w:rFonts w:ascii="標楷體" w:hAnsi="標楷體" w:eastAsia="標楷體"/>
          <w:color w:themeColor="text1" w:val="000000"/>
        </w:rPr>
      </w:pPr>
      <w:r>
        <w:rPr>
          <w:rFonts w:ascii="標楷體" w:hAnsi="標楷體" w:hint="eastAsia" w:eastAsia="標楷體"/>
          <w:color w:themeColor="text1" w:val="000000"/>
        </w:rPr>
        <w:t>一、目    標：為鼓勵本縣民眾勇於開口說臺灣台語，以生動有趣的故事表演為媒介，帶領大家以母語進行自然的表達，讓更多人熟悉並喜愛台語，達到傳承語言的目的。同時，透過故事內容的說演，讓聽眾能更認識在地的人文風情、歷史脈絡與生活智慧，進而增進對故鄉的情感連結，與建立重視母語文化的良好氛圍。</w:t>
      </w:r>
    </w:p>
    <w:p>
      <w:pPr>
        <w:pStyle w:val="NoSpacing"/>
        <w:spacing w:lineRule="exact" w:line="44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二、指導單位：文化部</w:t>
      </w:r>
    </w:p>
    <w:p>
      <w:pPr>
        <w:pStyle w:val="Normal"/>
        <w:spacing w:lineRule="exact" w:line="44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三、主辦單位：澎湖縣政府</w:t>
      </w:r>
    </w:p>
    <w:p>
      <w:pPr>
        <w:pStyle w:val="Normal"/>
        <w:spacing w:lineRule="exact" w:line="440"/>
        <w:ind w:hangingChars="350" w:start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四、承辦單位：澎湖縣政府文化局</w:t>
      </w:r>
    </w:p>
    <w:p>
      <w:pPr>
        <w:pStyle w:val="Normal"/>
        <w:spacing w:lineRule="exact" w:line="440"/>
        <w:ind w:hangingChars="700" w:startChars="50"/>
        <w:jc w:val="both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五、活動主題：自訂演說故事名稱，故事內容以「澎湖」相關為主題，指定語言為臺灣台語。</w:t>
      </w:r>
    </w:p>
    <w:p>
      <w:pPr>
        <w:pStyle w:val="Normal"/>
        <w:spacing w:lineRule="exact" w:line="440"/>
        <w:ind w:hangingChars="750" w:start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六、參加對象：凡本縣縣民均可報名參加。</w:t>
      </w:r>
    </w:p>
    <w:p>
      <w:pPr>
        <w:pStyle w:val="Normal"/>
        <w:spacing w:lineRule="exact" w:line="440"/>
        <w:ind w:firstLine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七、比賽組別：團體組，不限年齡。</w:t>
      </w:r>
    </w:p>
    <w:p>
      <w:pPr>
        <w:pStyle w:val="Normal"/>
        <w:spacing w:lineRule="exact" w:line="440"/>
        <w:ind w:hangingChars="945" w:startChars="59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八、各組名額：以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組為限，每組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2-4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人。</w:t>
      </w:r>
    </w:p>
    <w:p>
      <w:pPr>
        <w:pStyle w:val="Normal"/>
        <w:spacing w:lineRule="exact" w:line="440"/>
        <w:ind w:firstLine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九、比賽時間：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115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年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14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日〈週六〉上午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9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時。</w:t>
      </w:r>
    </w:p>
    <w:p>
      <w:pPr>
        <w:pStyle w:val="Normal"/>
        <w:spacing w:lineRule="exact" w:line="440"/>
        <w:ind w:firstLine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九、地點：（一）比賽地點：文化局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樓演講室。</w:t>
      </w:r>
    </w:p>
    <w:p>
      <w:pPr>
        <w:pStyle w:val="Normal"/>
        <w:spacing w:lineRule="exact" w:line="440"/>
        <w:ind w:firstLine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       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（二）報到區：文化局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樓大廳。</w:t>
      </w:r>
    </w:p>
    <w:p>
      <w:pPr>
        <w:pStyle w:val="Normal"/>
        <w:spacing w:lineRule="exact" w:line="440"/>
        <w:ind w:hangingChars="1013" w:startChars="5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十、報名時間及方式：自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日（週四）上午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09:00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起受理網路報名至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27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日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週二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或額滿為止，報名路徑：本局網站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-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活動訊息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報名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項下「講咱的話」臺灣台語說故事比賽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hyperlink r:id="rId2">
        <w:r>
          <w:rPr>
            <w:rStyle w:val="Hyperlink"/>
            <w:rFonts w:eastAsia="標楷體" w:cs="Times New Roman" w:ascii="標楷體" w:hAnsi="標楷體"/>
            <w:szCs w:val="28"/>
          </w:rPr>
          <w:t>https://www.phhcc.gov.tw/home.jsp?id=60</w:t>
        </w:r>
      </w:hyperlink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。</w:t>
      </w:r>
    </w:p>
    <w:p>
      <w:pPr>
        <w:pStyle w:val="Normal"/>
        <w:spacing w:lineRule="exact" w:line="440"/>
        <w:ind w:hangingChars="1013" w:startChars="50"/>
        <w:rPr>
          <w:rFonts w:ascii="Times New Roman" w:hAnsi="Times New Roman" w:cs="Times New Roman"/>
          <w:sz w:val="20"/>
          <w:szCs w:val="20"/>
          <w:shd w:fill="FFFFFF" w:val="clear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十一、報名資料繳交方式及期限：線上</w:t>
      </w:r>
      <w:r>
        <w:rPr>
          <w:rStyle w:val="Hyperlink"/>
          <w:rFonts w:ascii="標楷體" w:hAnsi="標楷體" w:cs="Times New Roman" w:hint="eastAsia" w:eastAsia="標楷體"/>
          <w:color w:val="auto"/>
          <w:szCs w:val="28"/>
          <w:u w:val="none"/>
        </w:rPr>
        <w:t>報名成功後，請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參賽者</w:t>
      </w:r>
      <w:r>
        <w:rPr>
          <w:rStyle w:val="Hyperlink"/>
          <w:rFonts w:ascii="標楷體" w:hAnsi="標楷體" w:cs="Times New Roman" w:hint="eastAsia" w:eastAsia="標楷體"/>
          <w:color w:val="auto"/>
          <w:szCs w:val="28"/>
          <w:u w:val="none"/>
        </w:rPr>
        <w:t>將書面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報名表（含</w:t>
      </w:r>
      <w:r>
        <w:rPr>
          <w:rFonts w:ascii="標楷體" w:hAnsi="標楷體" w:cs="Times New Roman" w:hint="eastAsia" w:eastAsia="標楷體"/>
          <w:color w:themeColor="text1" w:val="000000"/>
          <w:szCs w:val="24"/>
        </w:rPr>
        <w:t>故事名稱、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參賽者姓名、身分證字號、</w:t>
      </w:r>
      <w:r>
        <w:rPr>
          <w:rFonts w:ascii="標楷體" w:hAnsi="標楷體" w:cs="Times New Roman" w:hint="eastAsia" w:eastAsia="標楷體"/>
          <w:color w:themeColor="text1" w:val="000000"/>
          <w:szCs w:val="24"/>
        </w:rPr>
        <w:t>地</w:t>
      </w:r>
      <w:r>
        <w:rPr>
          <w:rFonts w:ascii="標楷體" w:hAnsi="標楷體" w:cs="Times New Roman" w:hint="eastAsia" w:eastAsia="標楷體"/>
          <w:szCs w:val="24"/>
        </w:rPr>
        <w:t>址、連絡人姓名、電話）寄送至承辦人員信箱</w:t>
      </w:r>
      <w:r>
        <w:rPr>
          <w:rFonts w:eastAsia="標楷體" w:cs="Times New Roman" w:hint="eastAsia" w:ascii="標楷體" w:hAnsi="標楷體"/>
          <w:szCs w:val="24"/>
        </w:rPr>
        <w:t>(</w:t>
      </w:r>
      <w:hyperlink r:id="rId3">
        <w:r>
          <w:rPr>
            <w:rStyle w:val="Hyperlink"/>
            <w:rFonts w:eastAsia="標楷體" w:cs="Times New Roman" w:ascii="標楷體" w:hAnsi="標楷體"/>
            <w:szCs w:val="24"/>
            <w:shd w:fill="FFFFFF" w:val="clear"/>
          </w:rPr>
          <w:t>fs9</w:t>
        </w:r>
        <w:r>
          <w:rPr>
            <w:rStyle w:val="Hyperlink"/>
            <w:rFonts w:eastAsia="標楷體" w:cs="Times New Roman" w:hint="eastAsia" w:ascii="標楷體" w:hAnsi="標楷體"/>
            <w:szCs w:val="24"/>
            <w:shd w:fill="FFFFFF" w:val="clear"/>
          </w:rPr>
          <w:t>5000</w:t>
        </w:r>
        <w:r>
          <w:rPr>
            <w:rStyle w:val="Hyperlink"/>
            <w:rFonts w:eastAsia="標楷體" w:cs="Times New Roman" w:ascii="標楷體" w:hAnsi="標楷體"/>
            <w:szCs w:val="24"/>
            <w:shd w:fill="FFFFFF" w:val="clear"/>
          </w:rPr>
          <w:t>@phhcc.penghu.gov.tw</w:t>
        </w:r>
      </w:hyperlink>
      <w:r>
        <w:rPr>
          <w:rStyle w:val="Hyperlink"/>
          <w:rFonts w:eastAsia="標楷體" w:cs="Times New Roman" w:hint="eastAsia" w:ascii="標楷體" w:hAnsi="標楷體"/>
          <w:szCs w:val="24"/>
          <w:shd w:fill="FFFFFF" w:val="clear"/>
        </w:rPr>
        <w:t>)</w:t>
      </w:r>
      <w:r>
        <w:rPr>
          <w:rFonts w:ascii="標楷體" w:hAnsi="標楷體" w:cs="Times New Roman" w:hint="eastAsia" w:eastAsia="標楷體"/>
          <w:szCs w:val="24"/>
          <w:shd w:fill="FFFFFF" w:val="clear"/>
        </w:rPr>
        <w:t>，主旨為：</w:t>
      </w:r>
      <w:r>
        <w:rPr>
          <w:rFonts w:eastAsia="標楷體" w:cs="Times New Roman" w:hint="eastAsia" w:ascii="標楷體" w:hAnsi="標楷體"/>
          <w:szCs w:val="24"/>
          <w:shd w:fill="FFFFFF" w:val="clear"/>
        </w:rPr>
        <w:t>115</w:t>
      </w:r>
      <w:r>
        <w:rPr>
          <w:rFonts w:ascii="標楷體" w:hAnsi="標楷體" w:cs="Times New Roman" w:hint="eastAsia" w:eastAsia="標楷體"/>
          <w:szCs w:val="24"/>
          <w:shd w:fill="FFFFFF" w:val="clear"/>
        </w:rPr>
        <w:t>年「講咱的話」臺灣台語說故事比賽報名表</w:t>
      </w:r>
      <w:r>
        <w:rPr>
          <w:rFonts w:ascii="標楷體" w:hAnsi="標楷體" w:cs="Times New Roman" w:hint="eastAsia" w:eastAsia="標楷體"/>
          <w:szCs w:val="24"/>
        </w:rPr>
        <w:t>，或於澎湖縣</w:t>
      </w:r>
      <w:r>
        <w:rPr>
          <w:rFonts w:ascii="標楷體" w:hAnsi="標楷體" w:cs="Times New Roman" w:hint="eastAsia" w:eastAsia="標楷體"/>
          <w:color w:themeColor="text1" w:val="000000"/>
          <w:szCs w:val="24"/>
        </w:rPr>
        <w:t>圖書館開館時間至一樓臨櫃完成繳交參賽者書面報名表，</w:t>
      </w:r>
      <w:r>
        <w:rPr>
          <w:rFonts w:ascii="標楷體" w:hAnsi="標楷體" w:cs="Times New Roman" w:eastAsia="標楷體"/>
          <w:color w:themeColor="text1" w:val="000000"/>
          <w:szCs w:val="24"/>
        </w:rPr>
        <w:t>始完成報名手續</w:t>
      </w:r>
      <w:r>
        <w:rPr>
          <w:rFonts w:ascii="標楷體" w:hAnsi="標楷體" w:cs="Times New Roman" w:hint="eastAsia" w:eastAsia="標楷體"/>
          <w:color w:themeColor="text1" w:val="000000"/>
          <w:szCs w:val="24"/>
        </w:rPr>
        <w:t>，</w:t>
      </w:r>
      <w:r>
        <w:rPr>
          <w:rStyle w:val="Hyperlink"/>
          <w:rFonts w:eastAsia="標楷體" w:cs="Times New Roman" w:hint="eastAsia" w:ascii="標楷體" w:hAnsi="標楷體"/>
          <w:color w:val="auto"/>
          <w:szCs w:val="28"/>
          <w:u w:val="none"/>
        </w:rPr>
        <w:t>10</w:t>
      </w:r>
      <w:r>
        <w:rPr>
          <w:rStyle w:val="Hyperlink"/>
          <w:rFonts w:ascii="標楷體" w:hAnsi="標楷體" w:cs="Times New Roman" w:hint="eastAsia" w:eastAsia="標楷體"/>
          <w:color w:val="auto"/>
          <w:szCs w:val="28"/>
          <w:u w:val="none"/>
        </w:rPr>
        <w:t>月</w:t>
      </w:r>
      <w:r>
        <w:rPr>
          <w:rStyle w:val="Hyperlink"/>
          <w:rFonts w:eastAsia="標楷體" w:cs="Times New Roman" w:hint="eastAsia" w:ascii="標楷體" w:hAnsi="標楷體"/>
          <w:color w:val="auto"/>
          <w:szCs w:val="28"/>
          <w:u w:val="none"/>
        </w:rPr>
        <w:t>27</w:t>
      </w:r>
      <w:r>
        <w:rPr>
          <w:rStyle w:val="Hyperlink"/>
          <w:rFonts w:ascii="標楷體" w:hAnsi="標楷體" w:cs="Times New Roman" w:hint="eastAsia" w:eastAsia="標楷體"/>
          <w:color w:val="auto"/>
          <w:szCs w:val="28"/>
          <w:u w:val="none"/>
        </w:rPr>
        <w:t>日</w:t>
      </w:r>
      <w:r>
        <w:rPr>
          <w:rStyle w:val="Hyperlink"/>
          <w:rFonts w:eastAsia="標楷體" w:cs="Times New Roman" w:hint="eastAsia" w:ascii="標楷體" w:hAnsi="標楷體"/>
          <w:color w:val="auto"/>
          <w:szCs w:val="28"/>
          <w:u w:val="none"/>
        </w:rPr>
        <w:t>(</w:t>
      </w:r>
      <w:r>
        <w:rPr>
          <w:rStyle w:val="Hyperlink"/>
          <w:rFonts w:ascii="標楷體" w:hAnsi="標楷體" w:cs="Times New Roman" w:hint="eastAsia" w:eastAsia="標楷體"/>
          <w:color w:val="auto"/>
          <w:szCs w:val="28"/>
          <w:u w:val="none"/>
        </w:rPr>
        <w:t>週二</w:t>
      </w:r>
      <w:r>
        <w:rPr>
          <w:rStyle w:val="Hyperlink"/>
          <w:rFonts w:eastAsia="標楷體" w:cs="Times New Roman" w:hint="eastAsia" w:ascii="標楷體" w:hAnsi="標楷體"/>
          <w:color w:val="auto"/>
          <w:szCs w:val="28"/>
          <w:u w:val="none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4"/>
        </w:rPr>
        <w:t>未繳交參賽者書面報名表視同放棄（洽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詢電話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06-9261141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分機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189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張小姐，澎湖縣圖書館）。</w:t>
      </w:r>
    </w:p>
    <w:p>
      <w:pPr>
        <w:pStyle w:val="Normal"/>
        <w:spacing w:lineRule="exact" w:line="44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十二、費用：免收報名費用。</w:t>
      </w:r>
    </w:p>
    <w:p>
      <w:pPr>
        <w:pStyle w:val="Normal"/>
        <w:spacing w:lineRule="exact" w:line="440"/>
        <w:ind w:hangingChars="300" w:startChars="0" w:start="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十三、比賽抽籤作業：於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日（週二）澎湖縣圖書館新知講堂舉行，各組抽籤結果、賽程及各組參賽人員名冊預定將於當日下午公布於文化局網站。如公布資料與原始報名資料有誤，應於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月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5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日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週四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前向承辦單位，文化局圖書資訊科張小姐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06-9261141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分機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189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提出更正。</w:t>
      </w:r>
    </w:p>
    <w:p>
      <w:pPr>
        <w:pStyle w:val="Normal"/>
        <w:spacing w:lineRule="exact" w:line="44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十四、報到、比賽時限及規則：</w:t>
      </w:r>
    </w:p>
    <w:p>
      <w:pPr>
        <w:pStyle w:val="ListParagraph"/>
        <w:numPr>
          <w:ilvl w:val="0"/>
          <w:numId w:val="1"/>
        </w:numPr>
        <w:spacing w:lineRule="exact" w:line="440"/>
        <w:ind w:startChars="0" w:start="48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hint="eastAsia" w:eastAsia="標楷體"/>
          <w:color w:themeColor="text1" w:val="000000"/>
        </w:rPr>
        <w:t>請於當日上午</w:t>
      </w:r>
      <w:r>
        <w:rPr>
          <w:rFonts w:eastAsia="標楷體" w:hint="eastAsia" w:ascii="標楷體" w:hAnsi="標楷體"/>
          <w:color w:themeColor="text1" w:val="000000"/>
        </w:rPr>
        <w:t>8:15</w:t>
      </w:r>
      <w:r>
        <w:rPr>
          <w:rFonts w:ascii="標楷體" w:hAnsi="標楷體" w:hint="eastAsia" w:eastAsia="標楷體"/>
          <w:color w:themeColor="text1" w:val="000000"/>
        </w:rPr>
        <w:t>至</w:t>
      </w:r>
      <w:r>
        <w:rPr>
          <w:rFonts w:eastAsia="標楷體" w:hint="eastAsia" w:ascii="標楷體" w:hAnsi="標楷體"/>
          <w:color w:themeColor="text1" w:val="000000"/>
        </w:rPr>
        <w:t>8:30</w:t>
      </w:r>
      <w:r>
        <w:rPr>
          <w:rFonts w:ascii="標楷體" w:hAnsi="標楷體" w:hint="eastAsia" w:eastAsia="標楷體"/>
          <w:color w:themeColor="text1" w:val="000000"/>
        </w:rPr>
        <w:t>完成報到，</w:t>
      </w:r>
      <w:r>
        <w:rPr>
          <w:rFonts w:ascii="標楷體" w:hAnsi="標楷體" w:cs="Times New Roman" w:hint="eastAsia" w:eastAsia="標楷體"/>
          <w:b/>
          <w:color w:themeColor="text1" w:val="000000"/>
          <w:szCs w:val="28"/>
          <w:u w:val="single"/>
        </w:rPr>
        <w:t>逾時未完成報到者以棄權論。</w:t>
      </w:r>
    </w:p>
    <w:p>
      <w:pPr>
        <w:pStyle w:val="ListParagraph"/>
        <w:numPr>
          <w:ilvl w:val="0"/>
          <w:numId w:val="1"/>
        </w:numPr>
        <w:spacing w:lineRule="exact" w:line="440"/>
        <w:ind w:startChars="0" w:start="48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說故事時間以不超過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5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分鐘為原則，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4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秒時，將按鈴提醒（說故事時間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4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秒至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5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分鐘不予扣分，不足或超過才酌扣時間分數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。</w:t>
      </w:r>
    </w:p>
    <w:p>
      <w:pPr>
        <w:pStyle w:val="ListParagraph"/>
        <w:numPr>
          <w:ilvl w:val="0"/>
          <w:numId w:val="1"/>
        </w:numPr>
        <w:spacing w:lineRule="exact" w:line="440"/>
        <w:ind w:startChars="0" w:start="480"/>
        <w:rPr>
          <w:rFonts w:ascii="標楷體" w:hAnsi="標楷體" w:eastAsia="標楷體" w:cs="Times New Roman"/>
          <w:color w:themeColor="text1" w:val="000000"/>
          <w:szCs w:val="28"/>
          <w:u w:val="single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為求公平考量，比賽所需道具，除參賽者自行攜帶上台外，應交由工作人員協助帶到台上擺放。</w:t>
      </w:r>
    </w:p>
    <w:p>
      <w:pPr>
        <w:pStyle w:val="ListParagraph"/>
        <w:numPr>
          <w:ilvl w:val="0"/>
          <w:numId w:val="1"/>
        </w:numPr>
        <w:spacing w:lineRule="exact" w:line="440"/>
        <w:ind w:startChars="0" w:start="480"/>
        <w:rPr>
          <w:rFonts w:ascii="標楷體" w:hAnsi="標楷體" w:eastAsia="標楷體" w:cs="Times New Roman"/>
          <w:color w:themeColor="text1" w:val="000000"/>
          <w:szCs w:val="28"/>
          <w:u w:val="single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團體組為讓說演人員舞台走位更流暢，主辦方會在前方架設麥克風。</w:t>
      </w:r>
    </w:p>
    <w:p>
      <w:pPr>
        <w:pStyle w:val="ListParagraph"/>
        <w:numPr>
          <w:ilvl w:val="0"/>
          <w:numId w:val="1"/>
        </w:numPr>
        <w:spacing w:lineRule="exact" w:line="440"/>
        <w:ind w:startChars="0" w:start="48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各組參賽者，於比賽進行中經唱名三次不到者，視同棄權。</w:t>
      </w:r>
    </w:p>
    <w:p>
      <w:pPr>
        <w:pStyle w:val="Normal"/>
        <w:spacing w:lineRule="exact" w:line="440"/>
        <w:ind w:hangingChars="850" w:startChars="0" w:start="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十五、評分標準：故事內容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％、演說語音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％、台風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30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％、時間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％。</w:t>
      </w:r>
    </w:p>
    <w:p>
      <w:pPr>
        <w:pStyle w:val="Normal"/>
        <w:spacing w:lineRule="exact" w:line="440"/>
        <w:ind w:hangingChars="750" w:startChars="10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十六、獎勵：（一）成績評定採分級制：</w:t>
      </w:r>
    </w:p>
    <w:p>
      <w:pPr>
        <w:pStyle w:val="Normal"/>
        <w:spacing w:lineRule="exact" w:line="440"/>
        <w:ind w:hangingChars="845" w:startChars="30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              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(1).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特優獎（平均分數九十分以上）：獎狀乙張、獎金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2,400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元。</w:t>
      </w:r>
    </w:p>
    <w:p>
      <w:pPr>
        <w:pStyle w:val="Normal"/>
        <w:spacing w:lineRule="exact" w:line="440"/>
        <w:ind w:hangingChars="945" w:startChars="300"/>
        <w:rPr>
          <w:rFonts w:ascii="標楷體" w:hAnsi="標楷體" w:eastAsia="標楷體" w:cs="Times New Roman" w:hint="eastAsia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　　　　　　   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(2).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優等獎（平均分數八十五分以上，未達九十分者）：</w:t>
      </w:r>
    </w:p>
    <w:p>
      <w:pPr>
        <w:pStyle w:val="Normal"/>
        <w:spacing w:lineRule="exact" w:line="440"/>
        <w:ind w:firstLineChars="50" w:startChars="1200"/>
        <w:rPr>
          <w:rFonts w:ascii="標楷體" w:hAnsi="標楷體" w:eastAsia="標楷體" w:cs="Times New Roman"/>
          <w:color w:themeColor="text1" w:val="000000"/>
          <w:szCs w:val="28"/>
        </w:rPr>
      </w:pPr>
      <w:bookmarkStart w:id="0" w:name="_GoBack"/>
      <w:bookmarkEnd w:id="0"/>
      <w:r>
        <w:rPr>
          <w:rFonts w:ascii="標楷體" w:hAnsi="標楷體" w:cs="Times New Roman" w:hint="eastAsia" w:eastAsia="標楷體"/>
          <w:color w:themeColor="text1" w:val="000000"/>
          <w:szCs w:val="28"/>
        </w:rPr>
        <w:t>獎狀乙張、獎金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1,800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元。</w:t>
      </w:r>
    </w:p>
    <w:p>
      <w:pPr>
        <w:pStyle w:val="Normal"/>
        <w:spacing w:lineRule="exact" w:line="440"/>
        <w:ind w:hangingChars="845" w:startChars="30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　　　　　　   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(3).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甲等獎（未達八十五分者）：獎狀乙張、獎金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1,200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元。</w:t>
      </w:r>
    </w:p>
    <w:p>
      <w:pPr>
        <w:pStyle w:val="Normal"/>
        <w:spacing w:lineRule="exact" w:line="440"/>
        <w:ind w:hangingChars="845" w:startChars="300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       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二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 xml:space="preserve">)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特優獎得獎者之指導老師將給予嘉獎一次之獎勵。</w:t>
      </w:r>
    </w:p>
    <w:p>
      <w:pPr>
        <w:pStyle w:val="Normal"/>
        <w:spacing w:lineRule="exact" w:line="440"/>
        <w:ind w:hangingChars="826" w:startChars="59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 xml:space="preserve">            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（三）各組比賽結束，即於文化局演講室進行頒獎典禮。</w:t>
      </w:r>
    </w:p>
    <w:p>
      <w:pPr>
        <w:pStyle w:val="Normal"/>
        <w:spacing w:lineRule="exact" w:line="440"/>
        <w:ind w:hangingChars="800" w:startChars="58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十七、其他：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一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比賽當日如需自行錄影，請於報到時填寫申請表，以配發錄影證，持證者方能於比賽現場或轉播區錄影，並請於著作權法等相關規定規範下使用。</w:t>
      </w:r>
    </w:p>
    <w:p>
      <w:pPr>
        <w:pStyle w:val="Normal"/>
        <w:spacing w:lineRule="exact" w:line="440"/>
        <w:ind w:firstLineChars="50" w:startChars="608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eastAsia="標楷體" w:cs="Times New Roman" w:hint="eastAsia" w:ascii="標楷體" w:hAnsi="標楷體"/>
          <w:color w:themeColor="text1" w:val="000000"/>
          <w:szCs w:val="28"/>
        </w:rPr>
        <w:t>(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二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)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本實施要點若有未盡事宜，本</w:t>
      </w:r>
      <w:r>
        <w:rPr>
          <w:rFonts w:ascii="標楷體" w:hAnsi="標楷體" w:eastAsia="標楷體"/>
        </w:rPr>
        <w:t>局得視實際需要予以修訂或調整。</w:t>
      </w:r>
    </w:p>
    <w:p>
      <w:pPr>
        <w:pStyle w:val="Normal"/>
        <w:widowControl/>
        <w:spacing w:lineRule="exact" w:line="440"/>
        <w:ind w:hangingChars="58" w:startChars="59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十八、報名表</w:t>
      </w:r>
    </w:p>
    <w:p>
      <w:pPr>
        <w:pStyle w:val="Normal"/>
        <w:spacing w:lineRule="exact" w:line="440"/>
        <w:ind w:firstLineChars="200"/>
        <w:jc w:val="center"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ascii="標楷體" w:hAnsi="標楷體" w:cs="Times New Roman" w:hint="eastAsia" w:eastAsia="標楷體"/>
          <w:color w:themeColor="text1" w:val="000000"/>
          <w:szCs w:val="28"/>
        </w:rPr>
        <w:t>澎湖縣政府文化局</w:t>
      </w:r>
      <w:r>
        <w:rPr>
          <w:rFonts w:eastAsia="標楷體" w:cs="Times New Roman" w:hint="eastAsia" w:ascii="標楷體" w:hAnsi="標楷體"/>
          <w:color w:themeColor="text1" w:val="000000"/>
          <w:szCs w:val="28"/>
        </w:rPr>
        <w:t>115</w:t>
      </w:r>
      <w:r>
        <w:rPr>
          <w:rFonts w:ascii="標楷體" w:hAnsi="標楷體" w:cs="Times New Roman" w:hint="eastAsia" w:eastAsia="標楷體"/>
          <w:color w:themeColor="text1" w:val="000000"/>
          <w:szCs w:val="28"/>
        </w:rPr>
        <w:t>年度「講咱的話」臺灣台語說故事比賽報名表</w:t>
      </w:r>
    </w:p>
    <w:tbl>
      <w:tblPr>
        <w:tblStyle w:val="a9"/>
        <w:tblW w:w="908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985"/>
        <w:gridCol w:w="2549"/>
        <w:gridCol w:w="1740"/>
        <w:gridCol w:w="2808"/>
      </w:tblGrid>
      <w:tr>
        <w:trPr/>
        <w:tc>
          <w:tcPr>
            <w:tcW w:w="9082" w:type="dxa"/>
            <w:gridSpan w:val="4"/>
            <w:tcBorders/>
            <w:shd w:color="auto" w:fill="D6E3BC" w:themeFill="accent3" w:themeFillTint="66" w:val="clea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hint="eastAsia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115</w:t>
            </w:r>
            <w:r>
              <w:rPr>
                <w:rFonts w:ascii="標楷體" w:hAnsi="標楷體" w:cs="Times New Roman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年度</w:t>
            </w:r>
            <w:r>
              <w:rPr>
                <w:rFonts w:ascii="標楷體" w:hAnsi="標楷體" w:cs="Times New Roman" w:hint="eastAsia" w:eastAsia="標楷體"/>
                <w:color w:themeColor="text1" w:val="000000"/>
                <w:kern w:val="2"/>
                <w:sz w:val="24"/>
                <w:szCs w:val="28"/>
                <w:lang w:val="en-US" w:eastAsia="zh-TW" w:bidi="ar-SA"/>
              </w:rPr>
              <w:t>「講咱的話」臺灣台語說故事比賽</w:t>
            </w:r>
            <w:r>
              <w:rPr>
                <w:rFonts w:ascii="標楷體" w:hAnsi="標楷體" w:cs="Times New Roman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參賽者資料</w:t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故事名稱</w:t>
            </w:r>
          </w:p>
        </w:tc>
        <w:tc>
          <w:tcPr>
            <w:tcW w:w="7097" w:type="dxa"/>
            <w:gridSpan w:val="3"/>
            <w:tcBorders/>
            <w:vAlign w:val="center"/>
          </w:tcPr>
          <w:p>
            <w:pPr>
              <w:pStyle w:val="Normal"/>
              <w:spacing w:lineRule="exact" w:line="440" w:before="0" w:after="0"/>
              <w:jc w:val="start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參賽者</w:t>
            </w:r>
            <w:r>
              <w:rPr>
                <w:rFonts w:eastAsia="標楷體" w:cs="" w:hint="eastAsia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(1)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eastAsia="標楷體" w:cs="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身分證字號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地址</w:t>
            </w:r>
          </w:p>
        </w:tc>
        <w:tc>
          <w:tcPr>
            <w:tcW w:w="7097" w:type="dxa"/>
            <w:gridSpan w:val="3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參賽者</w:t>
            </w:r>
            <w:r>
              <w:rPr>
                <w:rFonts w:eastAsia="標楷體" w:cs="" w:hint="eastAsia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(2)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eastAsia="標楷體" w:cs="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身分證字號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地址</w:t>
            </w:r>
          </w:p>
        </w:tc>
        <w:tc>
          <w:tcPr>
            <w:tcW w:w="7097" w:type="dxa"/>
            <w:gridSpan w:val="3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參賽者</w:t>
            </w:r>
            <w:r>
              <w:rPr>
                <w:rFonts w:eastAsia="標楷體" w:cs="" w:hint="eastAsia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(3)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eastAsia="標楷體" w:cs="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身分證字號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地址</w:t>
            </w:r>
          </w:p>
        </w:tc>
        <w:tc>
          <w:tcPr>
            <w:tcW w:w="7097" w:type="dxa"/>
            <w:gridSpan w:val="3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參賽者</w:t>
            </w:r>
            <w:r>
              <w:rPr>
                <w:rFonts w:eastAsia="標楷體" w:cs="" w:hint="eastAsia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(4)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eastAsia="標楷體" w:cs="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身分證字號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地址</w:t>
            </w:r>
          </w:p>
        </w:tc>
        <w:tc>
          <w:tcPr>
            <w:tcW w:w="7097" w:type="dxa"/>
            <w:gridSpan w:val="3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>
          <w:trHeight w:val="575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distribute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指導老師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Times New Roman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任 教 學 校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  <w:tr>
        <w:trPr/>
        <w:tc>
          <w:tcPr>
            <w:tcW w:w="9082" w:type="dxa"/>
            <w:gridSpan w:val="4"/>
            <w:tcBorders/>
            <w:shd w:color="auto" w:fill="D6E3BC" w:themeFill="accent3" w:themeFillTint="66" w:val="clear"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當日連絡人資料</w:t>
            </w:r>
          </w:p>
        </w:tc>
      </w:tr>
      <w:tr>
        <w:trPr>
          <w:trHeight w:val="621" w:hRule="atLeast"/>
        </w:trPr>
        <w:tc>
          <w:tcPr>
            <w:tcW w:w="1985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姓  名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start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eastAsia="標楷體" w:cs="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  <w:tc>
          <w:tcPr>
            <w:tcW w:w="1740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/>
                <w:color w:themeColor="text1" w:val="000000"/>
                <w:szCs w:val="24"/>
              </w:rPr>
            </w:pPr>
            <w:r>
              <w:rPr>
                <w:rFonts w:ascii="標楷體" w:hAnsi="標楷體" w:cs="" w:hint="eastAsia" w:eastAsia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  <w:t>電       話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pacing w:lineRule="exact" w:line="440" w:before="0" w:after="0"/>
              <w:jc w:val="center"/>
              <w:rPr>
                <w:rFonts w:ascii="標楷體" w:hAnsi="標楷體" w:eastAsia="標楷體" w:cs="Times New Roman"/>
                <w:color w:themeColor="text1" w:val="000000"/>
                <w:szCs w:val="24"/>
              </w:rPr>
            </w:pPr>
            <w:r>
              <w:rPr>
                <w:rFonts w:eastAsia="標楷體" w:cs="Times New Roman" w:ascii="標楷體" w:hAnsi="標楷體"/>
                <w:color w:themeColor="text1" w:val="000000"/>
                <w:kern w:val="2"/>
                <w:sz w:val="24"/>
                <w:szCs w:val="24"/>
                <w:lang w:val="en-US" w:eastAsia="zh-TW" w:bidi="ar-SA"/>
              </w:rPr>
            </w:r>
          </w:p>
        </w:tc>
      </w:tr>
    </w:tbl>
    <w:p>
      <w:pPr>
        <w:pStyle w:val="Normal"/>
        <w:widowControl/>
        <w:rPr>
          <w:rFonts w:ascii="標楷體" w:hAnsi="標楷體" w:eastAsia="標楷體" w:cs="Times New Roman"/>
          <w:color w:themeColor="text1" w:val="000000"/>
          <w:szCs w:val="28"/>
        </w:rPr>
      </w:pPr>
      <w:r>
        <w:rPr>
          <w:rFonts w:eastAsia="標楷體" w:cs="Times New Roman" w:ascii="標楷體" w:hAnsi="標楷體"/>
          <w:color w:themeColor="text1" w:val="000000"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707" w:gutter="0" w:header="0" w:top="567" w:footer="0" w:bottom="567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Cambria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roman"/>
    <w:pitch w:val="variable"/>
  </w:font>
  <w:font w:name="Times New Roman">
    <w:charset w:val="8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8255" distB="0" distL="9525" distR="8255" simplePos="0" relativeHeight="4" behindDoc="1" locked="0" layoutInCell="0" allowOverlap="1" wp14:anchorId="7DC4B071">
              <wp:simplePos x="0" y="0"/>
              <wp:positionH relativeFrom="rightMargin">
                <wp:align>center</wp:align>
              </wp:positionH>
              <wp:positionV relativeFrom="page">
                <wp:posOffset>2672715</wp:posOffset>
              </wp:positionV>
              <wp:extent cx="477520" cy="477520"/>
              <wp:effectExtent l="0" t="635" r="635" b="635"/>
              <wp:wrapNone/>
              <wp:docPr id="1" name="橢圓形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360" cy="477360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id w:val="1504552030"/>
                            <w:docPartObj>
                              <w:docPartGallery w:val="Page Numbers (Margins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Style20"/>
                                <w:rPr>
                                  <w:rStyle w:val="PageNumber"/>
                                  <w:color w:themeColor="background1" w:val="FFFFFF"/>
                                  <w:szCs w:val="24"/>
                                </w:rPr>
                              </w:pPr>
                              <w:r>
                                <w:rPr/>
                                <w:fldChar w:fldCharType="begin"/>
                              </w:r>
                              <w:r>
                                <w:rPr/>
                                <w:instrText xml:space="preserve"> PAGE </w:instrText>
                              </w:r>
                              <w:r>
                                <w:rPr/>
                                <w:fldChar w:fldCharType="separate"/>
                              </w:r>
                              <w:r>
                                <w:rPr/>
                                <w:t>2</w:t>
                              </w:r>
                              <w:r>
                                <w:rPr/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r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id="shape_0" fillcolor="#9dbb61" stroked="f" o:allowincell="f" style="position:absolute;margin-left:-1.15pt;margin-top:210.45pt;width:37.55pt;height:37.55pt;mso-wrap-style:square;v-text-anchor:top;mso-position-horizontal:center;mso-position-horizontal-relative:page;mso-position-vertical-relative:page" wp14:anchorId="7DC4B071">
              <v:fill o:detectmouseclick="t" type="solid" color2="#62449e"/>
              <v:stroke color="#3465a4" joinstyle="round" endcap="flat"/>
              <v:textbox>
                <w:txbxContent>
                  <w:sdt>
                    <w:sdtPr>
                      <w:id w:val="1504552030"/>
                      <w:docPartObj>
                        <w:docPartGallery w:val="Page Numbers (Margins)"/>
                        <w:docPartUnique w:val="true"/>
                      </w:docPartObj>
                    </w:sdtPr>
                    <w:sdtContent>
                      <w:p>
                        <w:pPr>
                          <w:pStyle w:val="Style20"/>
                          <w:rPr>
                            <w:rStyle w:val="PageNumber"/>
                            <w:color w:themeColor="background1" w:val="FFFFFF"/>
                            <w:szCs w:val="24"/>
                          </w:rPr>
                        </w:pPr>
                        <w:r>
                          <w:rPr/>
                          <w:fldChar w:fldCharType="begin"/>
                        </w:r>
                        <w:r>
                          <w:rPr/>
                          <w:instrText xml:space="preserve"> PAGE </w:instrText>
                        </w:r>
                        <w:r>
                          <w:rPr/>
                          <w:fldChar w:fldCharType="separate"/>
                        </w:r>
                        <w:r>
                          <w:rPr/>
                          <w:t>2</w:t>
                        </w:r>
                        <w:r>
                          <w:rPr/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oval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8255" distB="0" distL="9525" distR="8255" simplePos="0" relativeHeight="4" behindDoc="1" locked="0" layoutInCell="0" allowOverlap="1" wp14:anchorId="7DC4B071">
              <wp:simplePos x="0" y="0"/>
              <wp:positionH relativeFrom="rightMargin">
                <wp:align>center</wp:align>
              </wp:positionH>
              <wp:positionV relativeFrom="page">
                <wp:posOffset>2672715</wp:posOffset>
              </wp:positionV>
              <wp:extent cx="477520" cy="477520"/>
              <wp:effectExtent l="0" t="635" r="635" b="635"/>
              <wp:wrapNone/>
              <wp:docPr id="2" name="橢圓形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360" cy="477360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id w:val="1504552030"/>
                            <w:docPartObj>
                              <w:docPartGallery w:val="Page Numbers (Margins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Style20"/>
                                <w:rPr>
                                  <w:rStyle w:val="PageNumber"/>
                                  <w:color w:themeColor="background1" w:val="FFFFFF"/>
                                  <w:szCs w:val="24"/>
                                </w:rPr>
                              </w:pPr>
                              <w:r>
                                <w:rPr/>
                                <w:fldChar w:fldCharType="begin"/>
                              </w:r>
                              <w:r>
                                <w:rPr/>
                                <w:instrText xml:space="preserve"> PAGE </w:instrText>
                              </w:r>
                              <w:r>
                                <w:rPr/>
                                <w:fldChar w:fldCharType="separate"/>
                              </w:r>
                              <w:r>
                                <w:rPr/>
                                <w:t>2</w:t>
                              </w:r>
                              <w:r>
                                <w:rPr/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r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id="shape_0" fillcolor="#9dbb61" stroked="f" o:allowincell="f" style="position:absolute;margin-left:-1.15pt;margin-top:210.45pt;width:37.55pt;height:37.55pt;mso-wrap-style:square;v-text-anchor:top;mso-position-horizontal:center;mso-position-horizontal-relative:page;mso-position-vertical-relative:page" wp14:anchorId="7DC4B071">
              <v:fill o:detectmouseclick="t" type="solid" color2="#62449e"/>
              <v:stroke color="#3465a4" joinstyle="round" endcap="flat"/>
              <v:textbox>
                <w:txbxContent>
                  <w:sdt>
                    <w:sdtPr>
                      <w:id w:val="1504552030"/>
                      <w:docPartObj>
                        <w:docPartGallery w:val="Page Numbers (Margins)"/>
                        <w:docPartUnique w:val="true"/>
                      </w:docPartObj>
                    </w:sdtPr>
                    <w:sdtContent>
                      <w:p>
                        <w:pPr>
                          <w:pStyle w:val="Style20"/>
                          <w:rPr>
                            <w:rStyle w:val="PageNumber"/>
                            <w:color w:themeColor="background1" w:val="FFFFFF"/>
                            <w:szCs w:val="24"/>
                          </w:rPr>
                        </w:pPr>
                        <w:r>
                          <w:rPr/>
                          <w:fldChar w:fldCharType="begin"/>
                        </w:r>
                        <w:r>
                          <w:rPr/>
                          <w:instrText xml:space="preserve"> PAGE </w:instrText>
                        </w:r>
                        <w:r>
                          <w:rPr/>
                          <w:fldChar w:fldCharType="separate"/>
                        </w:r>
                        <w:r>
                          <w:rPr/>
                          <w:t>2</w:t>
                        </w:r>
                        <w:r>
                          <w:rPr/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oval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taiwaneseCountingThousand"/>
      <w:lvlText w:val="（%1）"/>
      <w:lvlJc w:val="start"/>
      <w:pPr>
        <w:tabs>
          <w:tab w:val="num" w:pos="0"/>
        </w:tabs>
        <w:ind w:start="1560" w:hanging="720"/>
      </w:pPr>
      <w:rPr/>
    </w:lvl>
    <w:lvl w:ilvl="1">
      <w:start w:val="1"/>
      <w:numFmt w:val="ideographTraditional"/>
      <w:lvlText w:val="%2、"/>
      <w:lvlJc w:val="start"/>
      <w:pPr>
        <w:tabs>
          <w:tab w:val="num" w:pos="0"/>
        </w:tabs>
        <w:ind w:start="1800" w:hanging="48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80" w:hanging="4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760" w:hanging="480"/>
      </w:pPr>
      <w:rPr/>
    </w:lvl>
    <w:lvl w:ilvl="4">
      <w:start w:val="1"/>
      <w:numFmt w:val="ideographTraditional"/>
      <w:lvlText w:val="%5、"/>
      <w:lvlJc w:val="start"/>
      <w:pPr>
        <w:tabs>
          <w:tab w:val="num" w:pos="0"/>
        </w:tabs>
        <w:ind w:start="3240" w:hanging="48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720" w:hanging="4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200" w:hanging="480"/>
      </w:pPr>
      <w:rPr/>
    </w:lvl>
    <w:lvl w:ilvl="7">
      <w:start w:val="1"/>
      <w:numFmt w:val="ideographTraditional"/>
      <w:lvlText w:val="%8、"/>
      <w:lvlJc w:val="start"/>
      <w:pPr>
        <w:tabs>
          <w:tab w:val="num" w:pos="0"/>
        </w:tabs>
        <w:ind w:start="4680" w:hanging="48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5160" w:hanging="4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註解方塊文字 字元"/>
    <w:basedOn w:val="DefaultParagraphFont"/>
    <w:link w:val="BalloonText"/>
    <w:uiPriority w:val="99"/>
    <w:semiHidden/>
    <w:qFormat/>
    <w:rsid w:val="000a531c"/>
    <w:rPr>
      <w:rFonts w:ascii="Cambria" w:hAnsi="Cambria" w:eastAsia="新細明體" w:cs="" w:asciiTheme="majorHAnsi" w:cstheme="majorBidi" w:eastAsiaTheme="majorEastAsia" w:hAnsiTheme="majorHAnsi"/>
      <w:sz w:val="18"/>
      <w:szCs w:val="18"/>
    </w:rPr>
  </w:style>
  <w:style w:type="character" w:styleId="Style15" w:customStyle="1">
    <w:name w:val="頁首 字元"/>
    <w:basedOn w:val="DefaultParagraphFont"/>
    <w:uiPriority w:val="99"/>
    <w:qFormat/>
    <w:rsid w:val="002322ab"/>
    <w:rPr>
      <w:sz w:val="20"/>
      <w:szCs w:val="20"/>
    </w:rPr>
  </w:style>
  <w:style w:type="character" w:styleId="Style16" w:customStyle="1">
    <w:name w:val="頁尾 字元"/>
    <w:basedOn w:val="DefaultParagraphFont"/>
    <w:uiPriority w:val="99"/>
    <w:qFormat/>
    <w:rsid w:val="002322ab"/>
    <w:rPr>
      <w:sz w:val="20"/>
      <w:szCs w:val="20"/>
    </w:rPr>
  </w:style>
  <w:style w:type="character" w:styleId="PageNumber">
    <w:name w:val="page number"/>
    <w:basedOn w:val="DefaultParagraphFont"/>
    <w:uiPriority w:val="99"/>
    <w:unhideWhenUsed/>
    <w:rsid w:val="00a0377f"/>
    <w:rPr/>
  </w:style>
  <w:style w:type="character" w:styleId="Emphasis">
    <w:name w:val="Emphasis"/>
    <w:basedOn w:val="DefaultParagraphFont"/>
    <w:uiPriority w:val="20"/>
    <w:qFormat/>
    <w:rsid w:val="00544fbf"/>
    <w:rPr>
      <w:i/>
      <w:iCs/>
    </w:rPr>
  </w:style>
  <w:style w:type="character" w:styleId="Hyperlink">
    <w:name w:val="Hyperlink"/>
    <w:basedOn w:val="DefaultParagraphFont"/>
    <w:uiPriority w:val="99"/>
    <w:unhideWhenUsed/>
    <w:rsid w:val="00d84a88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0639"/>
    <w:rPr>
      <w:color w:themeColor="followedHyperlink" w:val="800080"/>
      <w:u w:val="single"/>
    </w:rPr>
  </w:style>
  <w:style w:type="paragraph" w:styleId="Style17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a531c"/>
    <w:pPr/>
    <w:rPr>
      <w:rFonts w:ascii="Cambria" w:hAnsi="Cambria" w:eastAsia="新細明體" w:cs="" w:asciiTheme="majorHAnsi" w:cstheme="majorBidi" w:eastAsiaTheme="majorEastAsia" w:hAnsiTheme="majorHAnsi"/>
      <w:sz w:val="18"/>
      <w:szCs w:val="18"/>
    </w:rPr>
  </w:style>
  <w:style w:type="paragraph" w:styleId="Style19">
    <w:name w:val="頁首與頁尾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322ab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Footer">
    <w:name w:val="footer"/>
    <w:basedOn w:val="Normal"/>
    <w:link w:val="Style16"/>
    <w:uiPriority w:val="99"/>
    <w:unhideWhenUsed/>
    <w:rsid w:val="002322ab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02eae"/>
    <w:pPr>
      <w:ind w:startChars="200"/>
    </w:pPr>
    <w:rPr/>
  </w:style>
  <w:style w:type="paragraph" w:styleId="NoSpacing">
    <w:name w:val="No Spacing"/>
    <w:uiPriority w:val="1"/>
    <w:qFormat/>
    <w:rsid w:val="00273fe3"/>
    <w:pPr>
      <w:widowControl w:val="false"/>
      <w:bidi w:val="0"/>
      <w:spacing w:before="0" w:after="0"/>
      <w:jc w:val="star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paragraph" w:styleId="Style20">
    <w:name w:val="外框內容"/>
    <w:basedOn w:val="Normal"/>
    <w:qFormat/>
    <w:pPr/>
    <w:rPr/>
  </w:style>
  <w:style w:type="numbering" w:styleId="Style21" w:default="1">
    <w:name w:val="無清單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8059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表格格線1"/>
    <w:basedOn w:val="a1"/>
    <w:uiPriority w:val="59"/>
    <w:rsid w:val="006603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phhcc.gov.tw/home.jsp?id=60" TargetMode="External"/><Relationship Id="rId3" Type="http://schemas.openxmlformats.org/officeDocument/2006/relationships/hyperlink" Target="mailto:fs95000@phhcc.penghu.gov.tw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佈景主題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539F-F6A1-4506-A6F5-ADD851A9B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2</Pages>
  <Words>268</Words>
  <Characters>1530</Characters>
  <CharactersWithSpaces>1795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2026-09-15T07:27:00Z</dcterms:created>
  <dc:creator>VM6610-09</dc:creator>
  <dc:description/>
  <dc:language>zh-TW</dc:language>
  <cp:lastModifiedBy>張雅琇</cp:lastModifiedBy>
  <cp:lastPrinted>2025-08-18T08:17:00Z</cp:lastPrinted>
  <dcterms:modified xsi:type="dcterms:W3CDTF">2026-09-15T07:27:00Z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